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1C" w:rsidRPr="003C541C" w:rsidRDefault="003C541C" w:rsidP="003C541C">
      <w:pPr>
        <w:widowControl/>
        <w:shd w:val="clear" w:color="auto" w:fill="FFFFFF"/>
        <w:spacing w:line="480" w:lineRule="atLeast"/>
        <w:jc w:val="center"/>
        <w:rPr>
          <w:rFonts w:asciiTheme="majorEastAsia" w:eastAsiaTheme="majorEastAsia" w:hAnsiTheme="majorEastAsia" w:cs="宋体" w:hint="eastAsia"/>
          <w:b/>
          <w:bCs/>
          <w:kern w:val="0"/>
          <w:sz w:val="44"/>
          <w:szCs w:val="44"/>
        </w:rPr>
      </w:pPr>
      <w:r w:rsidRPr="003C541C">
        <w:rPr>
          <w:rFonts w:asciiTheme="majorEastAsia" w:eastAsiaTheme="majorEastAsia" w:hAnsiTheme="majorEastAsia" w:cs="宋体" w:hint="eastAsia"/>
          <w:b/>
          <w:bCs/>
          <w:kern w:val="0"/>
          <w:sz w:val="44"/>
          <w:szCs w:val="44"/>
        </w:rPr>
        <w:t>中华人民共和国教育部令第40号</w:t>
      </w:r>
    </w:p>
    <w:p w:rsidR="003C541C" w:rsidRPr="003C541C" w:rsidRDefault="003C541C" w:rsidP="003C541C">
      <w:pPr>
        <w:widowControl/>
        <w:shd w:val="clear" w:color="auto" w:fill="FFFFFF"/>
        <w:spacing w:before="240" w:line="480" w:lineRule="atLeast"/>
        <w:ind w:firstLineChars="250" w:firstLine="80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《高等学校预防与处理学术不端行为办法》已于2016年4月5日经教育部2016年第14次部长办公会议审议通过，现予发布，自2016年9月1日起施行。</w:t>
      </w:r>
    </w:p>
    <w:p w:rsidR="003C541C" w:rsidRPr="003C541C" w:rsidRDefault="003C541C" w:rsidP="003C541C">
      <w:pPr>
        <w:widowControl/>
        <w:shd w:val="clear" w:color="auto" w:fill="FFFFFF"/>
        <w:spacing w:before="240" w:line="480" w:lineRule="atLeast"/>
        <w:ind w:right="360"/>
        <w:jc w:val="righ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教育部部长</w:t>
      </w:r>
    </w:p>
    <w:p w:rsidR="003C541C" w:rsidRPr="003C541C" w:rsidRDefault="003C541C" w:rsidP="003C541C">
      <w:pPr>
        <w:widowControl/>
        <w:shd w:val="clear" w:color="auto" w:fill="FFFFFF"/>
        <w:spacing w:line="480" w:lineRule="atLeast"/>
        <w:jc w:val="righ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2016年6月16日</w:t>
      </w:r>
    </w:p>
    <w:p w:rsidR="003C541C" w:rsidRPr="003C541C" w:rsidRDefault="003C541C" w:rsidP="003C541C">
      <w:pPr>
        <w:widowControl/>
        <w:shd w:val="clear" w:color="auto" w:fill="FFFFFF"/>
        <w:spacing w:before="240"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高等学校预防与处理学术不端行为办法</w:t>
      </w:r>
    </w:p>
    <w:p w:rsidR="003C541C" w:rsidRPr="003C541C" w:rsidRDefault="003C541C" w:rsidP="00804490">
      <w:pPr>
        <w:pStyle w:val="a6"/>
        <w:widowControl/>
        <w:shd w:val="clear" w:color="auto" w:fill="FFFFFF"/>
        <w:spacing w:before="240" w:line="480" w:lineRule="atLeast"/>
        <w:ind w:left="520" w:firstLineChars="0" w:firstLine="0"/>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第一章总则</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第一条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本办法所称学术不端行为是指高等学校及其教学科研人员、管理人员和学生，在科学研究及相关活动中发生的违反公认的学术准则、违背学术诚信的行为。</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高等学校预防与处理学术不端行为应坚持预防为主、教育与惩戒结合的原则。</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教育部、国务院有关部门和省级教育部门负责制定高等学校学风建设的宏观政策，指导和监督高等学校学风建设工作，建立健全对所主管高等学校重大学术不端行为</w:t>
      </w:r>
      <w:r w:rsidRPr="003C541C">
        <w:rPr>
          <w:rFonts w:ascii="仿宋_GB2312" w:eastAsia="仿宋_GB2312" w:hAnsi="微软雅黑" w:cs="宋体" w:hint="eastAsia"/>
          <w:kern w:val="0"/>
          <w:sz w:val="32"/>
          <w:szCs w:val="32"/>
        </w:rPr>
        <w:lastRenderedPageBreak/>
        <w:t>的处理机制，建立高校学术不端行为的通报与相关信息公开制度。</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高等学校应当充分发挥学术委员会在学风建设方面的作用，支持和保障学术委员会依法履行职责，调查、认定学术不端行为。</w:t>
      </w:r>
    </w:p>
    <w:p w:rsidR="003C541C" w:rsidRPr="003C541C" w:rsidRDefault="003C541C" w:rsidP="00804490">
      <w:pPr>
        <w:pStyle w:val="a6"/>
        <w:widowControl/>
        <w:shd w:val="clear" w:color="auto" w:fill="FFFFFF"/>
        <w:spacing w:line="480" w:lineRule="atLeast"/>
        <w:ind w:left="520" w:firstLineChars="0" w:firstLine="0"/>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第二章教育与预防</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高等学校应当完善学术治理体系，建立科学公正的学术评价和学术发展制度，营造鼓励创新、宽容失败、不骄不躁、风清气正的学术环境。</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高等学校教学科研人员、管理人员、学生在科研活动中应当遵循实事求是的科学精神和严谨认真的治学态度，恪守学术诚信，遵循学术准则，尊重和保护他人知识产权等合法权益。</w:t>
      </w:r>
    </w:p>
    <w:p w:rsidR="003C541C" w:rsidRPr="003C541C" w:rsidRDefault="003C541C" w:rsidP="003C541C">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高等学校应当将学术规范和学术诚信教育，作为教师培训和学生教育的必要内容，以多种形式开展教育、培训。</w:t>
      </w:r>
    </w:p>
    <w:p w:rsidR="003C541C" w:rsidRPr="003C541C" w:rsidRDefault="003C541C" w:rsidP="003C541C">
      <w:pPr>
        <w:widowControl/>
        <w:shd w:val="clear" w:color="auto" w:fill="FFFFFF"/>
        <w:spacing w:line="480" w:lineRule="atLeast"/>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教师对其指导的学生应当进行学术规范、学术诚信教育和指导，对学生公开发表论文、研究和撰写学位论文是否符合学术规范、学术诚信要求，进行必要的检查与审核。</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高等学校应当利用信息技术等手段，建立对学术成果、学位论文所涉及内容的知识产权查询制度，健全学术规范监督机制。</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高等学校应当建立健全科研管理制度，在合理期限内保存研究的原始数据和资料，保证科研档案和数据的真实性、完整性。</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高等学校应当完善科研项目评审、学术成果鉴定程序，结合学科特点，对非涉密的科研项目申报材料、学术成果的基本信息以适当方式进行公开。</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高等学校应当遵循学术研究规律，建立科学的学术水平考核评价标准、办法，引导教学科研人员和学生潜心研究，形成具有创新性、独创性的研究成果。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高等学校应当建立教学科研人员学术诚信记录，在年度考核、职称评定、岗位聘用、课题立项、人才计划、评优奖励中强化学术诚信考核。</w:t>
      </w:r>
    </w:p>
    <w:p w:rsidR="003C541C" w:rsidRPr="003C541C" w:rsidRDefault="003C541C" w:rsidP="003C541C">
      <w:pPr>
        <w:widowControl/>
        <w:shd w:val="clear" w:color="auto" w:fill="FFFFFF"/>
        <w:spacing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第三章受理与调查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第十二条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高等学校应当明确具体部门，负责受理社会组织、个人对本校教学科研人员、管理人员及学生学术不端行为的举报；有条件的，可以设立专门岗位或者指定专人，</w:t>
      </w:r>
      <w:r w:rsidRPr="003C541C">
        <w:rPr>
          <w:rFonts w:ascii="仿宋_GB2312" w:eastAsia="仿宋_GB2312" w:hAnsi="微软雅黑" w:cs="宋体" w:hint="eastAsia"/>
          <w:kern w:val="0"/>
          <w:sz w:val="32"/>
          <w:szCs w:val="32"/>
        </w:rPr>
        <w:lastRenderedPageBreak/>
        <w:t>负责学术诚信和不端行为举报相关事宜的咨询、受理、调查等工作。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对学术不端行为的举报，一般应当以书面方式实名提出，并符合下列条件：</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（一）有明确的举报对象；</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（二）有实施学术不端行为的事实；</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（三）有客观的证据材料或者查证线索。</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以匿名方式举报，但事实清楚、证据充分或者线索明确的，高等学校应当视情况予以受理。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高等学校对媒体公开报道、其他学术机构或者社会组织主动披露的涉及本校人员的学术不端行为，应当依据职权，主动进行调查处理。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高等学校受理机构认为举报材料符合条件的，应当及时作出受理决定，并通知举报人。不予受理的，应当书面说明理由。</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学术不端行为举报受理后，应当交由学校学术委员会按照相关程序组织开展调查。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学术委员会可委托有关专家就举报内容的合理性、调查的可能性等进行初步审查，并作出是否进入正式调查的决定。</w:t>
      </w:r>
    </w:p>
    <w:p w:rsidR="003C541C" w:rsidRPr="003C541C" w:rsidRDefault="003C541C" w:rsidP="003C541C">
      <w:pPr>
        <w:widowControl/>
        <w:shd w:val="clear" w:color="auto" w:fill="FFFFFF"/>
        <w:spacing w:line="480" w:lineRule="atLeast"/>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决定不进入正式调查的，应当告知举报人。举报人如有新的证据，可以提出异议。异议成立的，应当进入正式调查。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第十七条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高等学校学术委员会决定进入正式调查的，应当通知被举报人。</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被调查行为涉及资助项目的，可以同时通知项目资助方。</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高等学校学术委员会应当组成调查组，负责对被举报行为进行调查；但对事实清楚、证据确凿、情节简单的被举报行为，也可以采用简易调查程序，具体办法由学术委员会确定。</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调查组应当不少于３人，必要时应当包括学校纪检、监察机构指派的工作人员，可以邀请同行专家参与调查或者以咨询等方式提供学术判断。</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被调查行为涉及资助项目的，可以邀请项目资助方委派相关专业人员参与调查组。</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第十九条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调查组的组成人员与举报人或者被举报人有合作研究、亲属或者导师学生等直接利害关系的，应当回避。</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调查可通过查询资料、现场查看、实验检验、询问证人、询问举报人和被举报人等方式进行。调查组认为有必要的，可以委托无利害关系的专家或者第三方专业机构就有关事项进行独立调查或者验证。</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调查组在调查过程中，应当认真听取被举报人的陈述、申辩，对有关事实、理由和证据进行核实；认为必要的，可以采取听证方式。</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第二十二条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有关单位和个人应当为调查组开展工作提供必要的便利和协助。</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举报人、被举报人、证人及其他有关人员应当如实回答询问，配合调查，提供相关证据材料，不得隐瞒或者提供虚假信息。</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调查过程中，出现知识产权等争议引发的法律纠纷的，且该争议可能影响行为定性的，应当中止调查，待争议解决后重启调查。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调查组应当在查清事实的基础上形成调查报告。调查报告应当包括学术不端行为责任人的确认、调查过程、事实认定及理由、调查结论等。</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学术不端行为由多人集体做出的，调查报告中应当区别各责任人在行为中所发挥的作用。</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接触举报材料和参与调查处理的人员，不得向无关人员透露举报人、被举报人个人信息及调查情况。</w:t>
      </w:r>
    </w:p>
    <w:p w:rsidR="003C541C" w:rsidRPr="003C541C" w:rsidRDefault="003C541C" w:rsidP="003C541C">
      <w:pPr>
        <w:widowControl/>
        <w:shd w:val="clear" w:color="auto" w:fill="FFFFFF"/>
        <w:spacing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第四章认定</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高等学校学术委员会应当对调查组提交的调查报告进行审查；必要的，应当听取调查组的汇报。</w:t>
      </w:r>
    </w:p>
    <w:p w:rsidR="003C541C" w:rsidRPr="003C541C" w:rsidRDefault="003C541C" w:rsidP="003C541C">
      <w:pPr>
        <w:widowControl/>
        <w:shd w:val="clear" w:color="auto" w:fill="FFFFFF"/>
        <w:spacing w:line="480" w:lineRule="atLeast"/>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学术委员会可以召开全体会议或者授权专门委员会对被调查行为是否构成学术不端行为以及行为的性质、情节等作出认定结论，并依职权作出处理或建议学校作出相应处理。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第二十七条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经调查，确认被举报人在科学研究及相关活动中有下列行为之一的，应当认定为构成学术不端行为：</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（一）剽窃、抄袭、侵占他人学术成果；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（二）篡改他人研究成果；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（三）伪造科研数据、资料、文献、注释，或者捏造事实、编造虚假研究成果；</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（四）未参加研究或创作而在研究成果、学术论文上署名，未经他人许可而不当使用他人署名，虚构合作者共同署名，或者多人共同完成研究而在成果中未注明他人工作、贡献；</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（五）在申报课题、成果、奖励和职务评审评定、申请学位等过程中提供虚假学术信息；</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（六）买卖论文、由他人代写或者为他人代写论文；</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（七）其他根据高等学校或者有关学术组织、相关科研管理机构制定的规则，属于学术不端的行为。</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有学术不端行为且有下列情形之一的，应当认定为情节严重：</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（一）造成恶劣影响的；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（二）存在利益输送或者利益交换的；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（三）对举报人进行打击报复的；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（四）有组织实施学术不端行为的；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（五）多次实施学术不端行为的；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（六）其他造成严重后果或者恶劣影响的。</w:t>
      </w:r>
    </w:p>
    <w:p w:rsidR="003C541C" w:rsidRPr="003C541C" w:rsidRDefault="003C541C" w:rsidP="003C541C">
      <w:pPr>
        <w:widowControl/>
        <w:shd w:val="clear" w:color="auto" w:fill="FFFFFF"/>
        <w:spacing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第五章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处理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第二十九条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高等学校应当根据学术委员会的认定结论和处理建议，结合行为性质和情节轻重，依职权和规定程序对学术不端行为责任人作出如下处理：</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（一）通报批评；</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（二）终止或者撤销相关的科研项目，并在一定期限内取消申请资格；</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（三）撤销学术奖励或者荣誉称号；</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（四）辞退或解聘；</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（五）法律、法规及规章规定的其他处理措施。</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同时，可以依照有关规定，给予警告、记过、降低岗位等级或者撤职、开除等处分。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学术不端行为责任人获得有关部门、机构设立的科研项目、学术奖励或者荣誉称号等利益的，学校应当同时向有关主管部门提出处理建议。</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学生有学术不端行为的，还应当按照学生管理的相关规定，给予相应的学籍处分。</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学术不端行为与获得学位有直接关联的，由学位授予单位作暂缓授予学位、不授予学位或者依法撤销学位等处理。</w:t>
      </w:r>
    </w:p>
    <w:p w:rsidR="003C541C" w:rsidRPr="003C541C" w:rsidRDefault="003C541C" w:rsidP="003C541C">
      <w:pPr>
        <w:widowControl/>
        <w:shd w:val="clear" w:color="auto" w:fill="FFFFFF"/>
        <w:spacing w:line="480" w:lineRule="atLeast"/>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第三十条高等学校对学术不端行为作出处理决定，应当制作处理决定书，载明以下内容：</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（一）责任人的基本情况；</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（二）经查证的学术不端行为事实；</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（三）处理意见和依据；</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（四）救济途径和期限；</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（五）其他必要内容。</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第三十一条经调查认定，不构成学术不端行为的，根据被举报人申请，高等学校应当通过一定方式为其消除影响、恢复名誉等。</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第三十二条参与举报受理、调查和处理的人员违反保密等规定，造成不良影响的，按照有关规定给予处分或其他处理。</w:t>
      </w:r>
    </w:p>
    <w:p w:rsidR="003C541C" w:rsidRPr="003C541C" w:rsidRDefault="003C541C" w:rsidP="003C541C">
      <w:pPr>
        <w:widowControl/>
        <w:shd w:val="clear" w:color="auto" w:fill="FFFFFF"/>
        <w:spacing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第六章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复核</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第三十三条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举报人或者学术不端行为责任人对处理决定不服的，可以在收到处理决定之日起30日内，以书面形式向高等学校提出异议或者复核申请。</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异议和复核不影响处理决定的执行。</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lastRenderedPageBreak/>
        <w:t>第三十四条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高等学校收到异议或者复核申请后，应当交由学术委员会组织讨论，并于15日内作出是否受理的决定。</w:t>
      </w:r>
    </w:p>
    <w:p w:rsidR="003C541C" w:rsidRPr="003C541C" w:rsidRDefault="003C541C" w:rsidP="00804490">
      <w:pPr>
        <w:widowControl/>
        <w:shd w:val="clear" w:color="auto" w:fill="FFFFFF"/>
        <w:spacing w:line="480" w:lineRule="atLeast"/>
        <w:ind w:firstLineChars="150" w:firstLine="48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决定受理的，学校或者学术委员会可以另行组织调查组或者委托第三方机构进行调查；决定不予受理的，应当书面通知当事人。</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第三十五条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当事人对复核决定不服，仍以同一事实和理由提出异议或者申请复核的，不予受理；向有关主管部门提出申诉的，按照相关规定执行。</w:t>
      </w:r>
    </w:p>
    <w:p w:rsidR="003C541C" w:rsidRPr="003C541C" w:rsidRDefault="003C541C" w:rsidP="003C541C">
      <w:pPr>
        <w:widowControl/>
        <w:shd w:val="clear" w:color="auto" w:fill="FFFFFF"/>
        <w:spacing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t>第七章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监督</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第三十六条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高等学校应当按年度发布学风建设工作报告，并向社会公开，接受社会监督。</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第三十七条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高等学校处理学术不端行为推诿塞责、隐瞒包庇、查处不力的，主管部门可以直接组织或者委托相关机构查处。</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第三十八条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高等学校对本校发生的学术不端行为，未能及时查处并做出公正结论，造成恶劣影响的，主管部门应当追究相关领导的责任，并进行通报。</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高等学校为获得相关利益，有组织实施学术不端行为的，主管部门调查确认后，应当撤销高等学校由此获得的相关权利、项目以及其他利益，并追究学校主要负责人、直接负责人的责任。</w:t>
      </w:r>
    </w:p>
    <w:p w:rsidR="003C541C" w:rsidRPr="003C541C" w:rsidRDefault="003C541C" w:rsidP="003C541C">
      <w:pPr>
        <w:widowControl/>
        <w:shd w:val="clear" w:color="auto" w:fill="FFFFFF"/>
        <w:spacing w:line="480" w:lineRule="atLeast"/>
        <w:jc w:val="center"/>
        <w:rPr>
          <w:rFonts w:ascii="仿宋_GB2312" w:eastAsia="仿宋_GB2312" w:hAnsi="微软雅黑" w:cs="宋体" w:hint="eastAsia"/>
          <w:kern w:val="0"/>
          <w:sz w:val="32"/>
          <w:szCs w:val="32"/>
        </w:rPr>
      </w:pPr>
      <w:r w:rsidRPr="003C541C">
        <w:rPr>
          <w:rFonts w:ascii="仿宋_GB2312" w:eastAsia="仿宋_GB2312" w:hAnsi="微软雅黑" w:cs="宋体" w:hint="eastAsia"/>
          <w:b/>
          <w:bCs/>
          <w:kern w:val="0"/>
          <w:sz w:val="32"/>
          <w:szCs w:val="32"/>
        </w:rPr>
        <w:lastRenderedPageBreak/>
        <w:t>第八章</w:t>
      </w:r>
      <w:r w:rsidR="00804490">
        <w:rPr>
          <w:rFonts w:ascii="仿宋_GB2312" w:eastAsia="仿宋_GB2312" w:hAnsi="微软雅黑" w:cs="宋体" w:hint="eastAsia"/>
          <w:b/>
          <w:bCs/>
          <w:kern w:val="0"/>
          <w:sz w:val="32"/>
          <w:szCs w:val="32"/>
        </w:rPr>
        <w:t xml:space="preserve">  </w:t>
      </w:r>
      <w:r w:rsidRPr="003C541C">
        <w:rPr>
          <w:rFonts w:ascii="仿宋_GB2312" w:eastAsia="仿宋_GB2312" w:hAnsi="微软雅黑" w:cs="宋体" w:hint="eastAsia"/>
          <w:b/>
          <w:bCs/>
          <w:kern w:val="0"/>
          <w:sz w:val="32"/>
          <w:szCs w:val="32"/>
        </w:rPr>
        <w:t>附则</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第三十九条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高等学校应当根据本办法，结合学校实际和学科特点，制定本校学术不端行为查处规则及处理办法，明确各类学术不端行为的惩处标准。有关规则应当经学校学术委员会和教职工代表大会讨论通过。</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第四十条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高等学校主管部门对直接受理的学术不端案件，可自行组织调查组或者指定、委托高等学校、有关机构组织调查、认定。对学术不端行为责任人的处理，根据本办法及国家有关规定执行。</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教育系统所属科研机构及其他单位有关人员学术不端行为的调查与处理，可参照本办法执行。</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第四十一条</w:t>
      </w:r>
      <w:r w:rsidR="00804490">
        <w:rPr>
          <w:rFonts w:ascii="仿宋_GB2312" w:eastAsia="仿宋_GB2312" w:hAnsi="微软雅黑" w:cs="宋体" w:hint="eastAsia"/>
          <w:kern w:val="0"/>
          <w:sz w:val="32"/>
          <w:szCs w:val="32"/>
        </w:rPr>
        <w:t xml:space="preserve">  </w:t>
      </w:r>
      <w:r w:rsidRPr="003C541C">
        <w:rPr>
          <w:rFonts w:ascii="仿宋_GB2312" w:eastAsia="仿宋_GB2312" w:hAnsi="微软雅黑" w:cs="宋体" w:hint="eastAsia"/>
          <w:kern w:val="0"/>
          <w:sz w:val="32"/>
          <w:szCs w:val="32"/>
        </w:rPr>
        <w:t>本办法自2016年9月1日起施行。</w:t>
      </w:r>
    </w:p>
    <w:p w:rsidR="003C541C" w:rsidRPr="003C541C" w:rsidRDefault="003C541C" w:rsidP="00804490">
      <w:pPr>
        <w:widowControl/>
        <w:shd w:val="clear" w:color="auto" w:fill="FFFFFF"/>
        <w:spacing w:line="480" w:lineRule="atLeast"/>
        <w:ind w:firstLineChars="200" w:firstLine="640"/>
        <w:jc w:val="left"/>
        <w:rPr>
          <w:rFonts w:ascii="仿宋_GB2312" w:eastAsia="仿宋_GB2312" w:hAnsi="微软雅黑" w:cs="宋体" w:hint="eastAsia"/>
          <w:kern w:val="0"/>
          <w:sz w:val="32"/>
          <w:szCs w:val="32"/>
        </w:rPr>
      </w:pPr>
      <w:r w:rsidRPr="003C541C">
        <w:rPr>
          <w:rFonts w:ascii="仿宋_GB2312" w:eastAsia="仿宋_GB2312" w:hAnsi="微软雅黑" w:cs="宋体" w:hint="eastAsia"/>
          <w:kern w:val="0"/>
          <w:sz w:val="32"/>
          <w:szCs w:val="32"/>
        </w:rPr>
        <w:t>教育部此前发布的有关规章、文件中的相关规定与本办法不一致的，以本办法为准。</w:t>
      </w:r>
    </w:p>
    <w:p w:rsidR="006C3FE1" w:rsidRPr="003C541C" w:rsidRDefault="006C3FE1">
      <w:pPr>
        <w:rPr>
          <w:rFonts w:ascii="仿宋_GB2312" w:eastAsia="仿宋_GB2312" w:hint="eastAsia"/>
          <w:sz w:val="32"/>
          <w:szCs w:val="32"/>
        </w:rPr>
      </w:pPr>
    </w:p>
    <w:sectPr w:rsidR="006C3FE1" w:rsidRPr="003C5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FE1" w:rsidRDefault="006C3FE1" w:rsidP="003C541C">
      <w:r>
        <w:separator/>
      </w:r>
    </w:p>
  </w:endnote>
  <w:endnote w:type="continuationSeparator" w:id="1">
    <w:p w:rsidR="006C3FE1" w:rsidRDefault="006C3FE1" w:rsidP="003C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FE1" w:rsidRDefault="006C3FE1" w:rsidP="003C541C">
      <w:r>
        <w:separator/>
      </w:r>
    </w:p>
  </w:footnote>
  <w:footnote w:type="continuationSeparator" w:id="1">
    <w:p w:rsidR="006C3FE1" w:rsidRDefault="006C3FE1" w:rsidP="003C5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621"/>
    <w:multiLevelType w:val="hybridMultilevel"/>
    <w:tmpl w:val="B492C7F8"/>
    <w:lvl w:ilvl="0" w:tplc="A2506E3E">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7571BB3"/>
    <w:multiLevelType w:val="hybridMultilevel"/>
    <w:tmpl w:val="34AE3F56"/>
    <w:lvl w:ilvl="0" w:tplc="1724FF20">
      <w:start w:val="1"/>
      <w:numFmt w:val="japaneseCounting"/>
      <w:lvlText w:val="%1"/>
      <w:lvlJc w:val="left"/>
      <w:pPr>
        <w:ind w:left="520" w:hanging="360"/>
      </w:pPr>
      <w:rPr>
        <w:rFonts w:hint="default"/>
        <w:b/>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541C"/>
    <w:rsid w:val="003C541C"/>
    <w:rsid w:val="006C3FE1"/>
    <w:rsid w:val="008044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5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541C"/>
    <w:rPr>
      <w:sz w:val="18"/>
      <w:szCs w:val="18"/>
    </w:rPr>
  </w:style>
  <w:style w:type="paragraph" w:styleId="a4">
    <w:name w:val="footer"/>
    <w:basedOn w:val="a"/>
    <w:link w:val="Char0"/>
    <w:uiPriority w:val="99"/>
    <w:semiHidden/>
    <w:unhideWhenUsed/>
    <w:rsid w:val="003C54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541C"/>
    <w:rPr>
      <w:sz w:val="18"/>
      <w:szCs w:val="18"/>
    </w:rPr>
  </w:style>
  <w:style w:type="character" w:styleId="a5">
    <w:name w:val="Strong"/>
    <w:basedOn w:val="a0"/>
    <w:uiPriority w:val="22"/>
    <w:qFormat/>
    <w:rsid w:val="003C541C"/>
    <w:rPr>
      <w:b/>
      <w:bCs/>
    </w:rPr>
  </w:style>
  <w:style w:type="paragraph" w:styleId="a6">
    <w:name w:val="List Paragraph"/>
    <w:basedOn w:val="a"/>
    <w:uiPriority w:val="34"/>
    <w:qFormat/>
    <w:rsid w:val="003C541C"/>
    <w:pPr>
      <w:ind w:firstLineChars="200" w:firstLine="420"/>
    </w:pPr>
  </w:style>
</w:styles>
</file>

<file path=word/webSettings.xml><?xml version="1.0" encoding="utf-8"?>
<w:webSettings xmlns:r="http://schemas.openxmlformats.org/officeDocument/2006/relationships" xmlns:w="http://schemas.openxmlformats.org/wordprocessingml/2006/main">
  <w:divs>
    <w:div w:id="200441077">
      <w:bodyDiv w:val="1"/>
      <w:marLeft w:val="0"/>
      <w:marRight w:val="0"/>
      <w:marTop w:val="0"/>
      <w:marBottom w:val="0"/>
      <w:divBdr>
        <w:top w:val="none" w:sz="0" w:space="0" w:color="auto"/>
        <w:left w:val="none" w:sz="0" w:space="0" w:color="auto"/>
        <w:bottom w:val="none" w:sz="0" w:space="0" w:color="auto"/>
        <w:right w:val="none" w:sz="0" w:space="0" w:color="auto"/>
      </w:divBdr>
      <w:divsChild>
        <w:div w:id="197671757">
          <w:marLeft w:val="0"/>
          <w:marRight w:val="0"/>
          <w:marTop w:val="0"/>
          <w:marBottom w:val="0"/>
          <w:divBdr>
            <w:top w:val="none" w:sz="0" w:space="0" w:color="auto"/>
            <w:left w:val="none" w:sz="0" w:space="0" w:color="auto"/>
            <w:bottom w:val="none" w:sz="0" w:space="0" w:color="auto"/>
            <w:right w:val="none" w:sz="0" w:space="0" w:color="auto"/>
          </w:divBdr>
          <w:divsChild>
            <w:div w:id="319816981">
              <w:marLeft w:val="0"/>
              <w:marRight w:val="0"/>
              <w:marTop w:val="0"/>
              <w:marBottom w:val="0"/>
              <w:divBdr>
                <w:top w:val="single" w:sz="6" w:space="31" w:color="BCBCBC"/>
                <w:left w:val="single" w:sz="6" w:space="31" w:color="BCBCBC"/>
                <w:bottom w:val="single" w:sz="6" w:space="15" w:color="BCBCBC"/>
                <w:right w:val="single" w:sz="6" w:space="31" w:color="BCBCBC"/>
              </w:divBdr>
              <w:divsChild>
                <w:div w:id="1022895427">
                  <w:marLeft w:val="0"/>
                  <w:marRight w:val="0"/>
                  <w:marTop w:val="0"/>
                  <w:marBottom w:val="0"/>
                  <w:divBdr>
                    <w:top w:val="none" w:sz="0" w:space="0" w:color="auto"/>
                    <w:left w:val="none" w:sz="0" w:space="0" w:color="auto"/>
                    <w:bottom w:val="none" w:sz="0" w:space="0" w:color="auto"/>
                    <w:right w:val="none" w:sz="0" w:space="0" w:color="auto"/>
                  </w:divBdr>
                  <w:divsChild>
                    <w:div w:id="1850363035">
                      <w:marLeft w:val="0"/>
                      <w:marRight w:val="0"/>
                      <w:marTop w:val="450"/>
                      <w:marBottom w:val="0"/>
                      <w:divBdr>
                        <w:top w:val="none" w:sz="0" w:space="0" w:color="auto"/>
                        <w:left w:val="none" w:sz="0" w:space="0" w:color="auto"/>
                        <w:bottom w:val="none" w:sz="0" w:space="0" w:color="auto"/>
                        <w:right w:val="none" w:sz="0" w:space="0" w:color="auto"/>
                      </w:divBdr>
                    </w:div>
                    <w:div w:id="17016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1FA0-2FB8-4F2B-90EB-7E721B26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689</Words>
  <Characters>3929</Characters>
  <Application>Microsoft Office Word</Application>
  <DocSecurity>0</DocSecurity>
  <Lines>32</Lines>
  <Paragraphs>9</Paragraphs>
  <ScaleCrop>false</ScaleCrop>
  <Company>china</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2016-09-08T09:30:00Z</dcterms:created>
  <dcterms:modified xsi:type="dcterms:W3CDTF">2016-09-08T09:51:00Z</dcterms:modified>
</cp:coreProperties>
</file>